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2EAFF" w14:textId="77777777" w:rsidR="00247063" w:rsidRDefault="00247063" w:rsidP="00247063">
      <w:pPr>
        <w:spacing w:line="480" w:lineRule="auto"/>
        <w:jc w:val="both"/>
        <w:rPr>
          <w:rFonts w:cstheme="minorHAnsi"/>
          <w:sz w:val="24"/>
          <w:szCs w:val="24"/>
        </w:rPr>
      </w:pPr>
      <w:r>
        <w:rPr>
          <w:rFonts w:cstheme="minorHAnsi"/>
          <w:b/>
          <w:sz w:val="24"/>
          <w:szCs w:val="24"/>
        </w:rPr>
        <w:t xml:space="preserve">TAC DOCA surgery and </w:t>
      </w:r>
      <w:proofErr w:type="spellStart"/>
      <w:r>
        <w:rPr>
          <w:rFonts w:cstheme="minorHAnsi"/>
          <w:b/>
          <w:i/>
          <w:iCs/>
          <w:sz w:val="24"/>
          <w:szCs w:val="24"/>
        </w:rPr>
        <w:t>Lepr</w:t>
      </w:r>
      <w:r>
        <w:rPr>
          <w:rFonts w:cstheme="minorHAnsi"/>
          <w:b/>
          <w:i/>
          <w:iCs/>
          <w:sz w:val="24"/>
          <w:szCs w:val="24"/>
          <w:vertAlign w:val="superscript"/>
        </w:rPr>
        <w:t>db</w:t>
      </w:r>
      <w:proofErr w:type="spellEnd"/>
      <w:r>
        <w:rPr>
          <w:rFonts w:cstheme="minorHAnsi"/>
          <w:b/>
          <w:i/>
          <w:iCs/>
          <w:sz w:val="24"/>
          <w:szCs w:val="24"/>
          <w:vertAlign w:val="superscript"/>
        </w:rPr>
        <w:t>/</w:t>
      </w:r>
      <w:proofErr w:type="spellStart"/>
      <w:r>
        <w:rPr>
          <w:rFonts w:cstheme="minorHAnsi"/>
          <w:b/>
          <w:i/>
          <w:iCs/>
          <w:sz w:val="24"/>
          <w:szCs w:val="24"/>
          <w:vertAlign w:val="superscript"/>
        </w:rPr>
        <w:t>db</w:t>
      </w:r>
      <w:proofErr w:type="spellEnd"/>
      <w:r>
        <w:rPr>
          <w:rFonts w:cstheme="minorHAnsi"/>
          <w:b/>
          <w:sz w:val="24"/>
          <w:szCs w:val="24"/>
        </w:rPr>
        <w:t xml:space="preserve"> mice</w:t>
      </w:r>
      <w:r>
        <w:rPr>
          <w:rFonts w:cstheme="minorHAnsi"/>
          <w:sz w:val="24"/>
          <w:szCs w:val="24"/>
        </w:rPr>
        <w:t xml:space="preserve"> </w:t>
      </w:r>
    </w:p>
    <w:p w14:paraId="194E11CE" w14:textId="77777777" w:rsidR="00247063" w:rsidRDefault="00247063" w:rsidP="00247063">
      <w:pPr>
        <w:shd w:val="clear" w:color="auto" w:fill="FFFFFF"/>
        <w:spacing w:line="480" w:lineRule="auto"/>
        <w:jc w:val="both"/>
        <w:rPr>
          <w:rFonts w:cstheme="minorHAnsi"/>
          <w:sz w:val="24"/>
          <w:szCs w:val="24"/>
        </w:rPr>
      </w:pPr>
      <w:r>
        <w:rPr>
          <w:rFonts w:cstheme="minorHAnsi"/>
          <w:sz w:val="24"/>
          <w:szCs w:val="24"/>
        </w:rPr>
        <w:t>Minimally invasive transverse aortic constriction (TAC) was performed on</w:t>
      </w:r>
      <w:r>
        <w:rPr>
          <w:rStyle w:val="apple-converted-space"/>
          <w:rFonts w:cstheme="minorHAnsi"/>
          <w:sz w:val="24"/>
          <w:szCs w:val="24"/>
        </w:rPr>
        <w:t xml:space="preserve"> ~ 12 week old </w:t>
      </w:r>
      <w:r>
        <w:rPr>
          <w:rFonts w:cstheme="minorHAnsi"/>
          <w:sz w:val="24"/>
          <w:szCs w:val="24"/>
        </w:rPr>
        <w:t xml:space="preserve">male </w:t>
      </w:r>
      <w:bookmarkStart w:id="0" w:name="_Hlk29945421"/>
      <w:r>
        <w:rPr>
          <w:rFonts w:cstheme="minorHAnsi"/>
          <w:sz w:val="24"/>
          <w:szCs w:val="24"/>
        </w:rPr>
        <w:t xml:space="preserve">C57BL/6J </w:t>
      </w:r>
      <w:bookmarkEnd w:id="0"/>
      <w:r>
        <w:rPr>
          <w:rFonts w:cstheme="minorHAnsi"/>
          <w:sz w:val="24"/>
          <w:szCs w:val="24"/>
        </w:rPr>
        <w:t>mice as described previously with modification</w:t>
      </w:r>
      <w:r>
        <w:rPr>
          <w:rFonts w:cstheme="minorHAnsi"/>
          <w:sz w:val="24"/>
          <w:szCs w:val="24"/>
        </w:rPr>
        <w:fldChar w:fldCharType="begin"/>
      </w:r>
      <w:r>
        <w:rPr>
          <w:rFonts w:cstheme="minorHAnsi"/>
          <w:sz w:val="24"/>
          <w:szCs w:val="24"/>
        </w:rPr>
        <w:instrText xml:space="preserve"> ADDIN EN.CITE &lt;EndNote&gt;&lt;Cite&gt;&lt;Author&gt;Hu&lt;/Author&gt;&lt;Year&gt;2003&lt;/Year&gt;&lt;RecNum&gt;606&lt;/RecNum&gt;&lt;DisplayText&gt;&lt;style face="superscript"&gt;1&lt;/style&gt;&lt;/DisplayText&gt;&lt;record&gt;&lt;rec-number&gt;606&lt;/rec-number&gt;&lt;foreign-keys&gt;&lt;key app="EN" db-id="2fp2zzzxfv5vaqewwp0xza96f09sp50sdvtr" timestamp="0"&gt;606&lt;/key&gt;&lt;/foreign-keys&gt;&lt;ref-type name="Journal Article"&gt;17&lt;/ref-type&gt;&lt;contributors&gt;&lt;authors&gt;&lt;author&gt;Hu, P.&lt;/author&gt;&lt;author&gt;Zhang, D.&lt;/author&gt;&lt;author&gt;Swenson, L.&lt;/author&gt;&lt;author&gt;Chakrabarti, G.&lt;/author&gt;&lt;author&gt;Abel, E. D.&lt;/author&gt;&lt;author&gt;Litwin, S. E.&lt;/author&gt;&lt;/authors&gt;&lt;/contributors&gt;&lt;auth-address&gt;Division of Cardiology, University Hospital, The University of Utah, 50 N. Medical Drive, Salt Lake City, UT 84132, USA.&lt;/auth-address&gt;&lt;titles&gt;&lt;title&gt;Minimally invasive aortic banding in mice: effects of altered cardiomyocyte insulin signaling during pressure overload&lt;/title&gt;&lt;secondary-title&gt;Am J Physiol Heart Circ Physiol&lt;/secondary-title&gt;&lt;/titles&gt;&lt;pages&gt;H1261-9&lt;/pages&gt;&lt;volume&gt;285&lt;/volume&gt;&lt;number&gt;3&lt;/number&gt;&lt;keywords&gt;&lt;keyword&gt;Animals&lt;/keyword&gt;&lt;keyword&gt;Aorta/surgery&lt;/keyword&gt;&lt;keyword&gt;Blood Pressure&lt;/keyword&gt;&lt;keyword&gt;Disease Models, Animal&lt;/keyword&gt;&lt;keyword&gt;Fibrosis&lt;/keyword&gt;&lt;keyword&gt;Hypertrophy, Left Ventricular/*metabolism/pathology/*physiopathology&lt;/keyword&gt;&lt;keyword&gt;Insulin/*metabolism&lt;/keyword&gt;&lt;keyword&gt;Male&lt;/keyword&gt;&lt;keyword&gt;Mice&lt;/keyword&gt;&lt;keyword&gt;Mice, Inbred C57BL&lt;/keyword&gt;&lt;keyword&gt;Myocardial Contraction&lt;/keyword&gt;&lt;keyword&gt;Myocytes, Cardiac/*metabolism/pathology&lt;/keyword&gt;&lt;keyword&gt;Signal Transduction/physiology&lt;/keyword&gt;&lt;keyword&gt;Ventricular Pressure&lt;/keyword&gt;&lt;/keywords&gt;&lt;dates&gt;&lt;year&gt;2003&lt;/year&gt;&lt;pub-dates&gt;&lt;date&gt;Sep&lt;/date&gt;&lt;/pub-dates&gt;&lt;/dates&gt;&lt;isbn&gt;0363-6135 (Print)&amp;#xD;0363-6135 (Linking)&lt;/isbn&gt;&lt;accession-num&gt;12738623&lt;/accession-num&gt;&lt;urls&gt;&lt;related-urls&gt;&lt;url&gt;http://www.ncbi.nlm.nih.gov/pubmed/12738623&lt;/url&gt;&lt;/related-urls&gt;&lt;/urls&gt;&lt;electronic-resource-num&gt;10.1152/ajpheart.00108.2003&lt;/electronic-resource-num&gt;&lt;/record&gt;&lt;/Cite&gt;&lt;/EndNote&gt;</w:instrText>
      </w:r>
      <w:r>
        <w:rPr>
          <w:rFonts w:cstheme="minorHAnsi"/>
          <w:sz w:val="24"/>
          <w:szCs w:val="24"/>
        </w:rPr>
        <w:fldChar w:fldCharType="separate"/>
      </w:r>
      <w:r>
        <w:rPr>
          <w:rFonts w:cstheme="minorHAnsi"/>
          <w:noProof/>
          <w:sz w:val="24"/>
          <w:szCs w:val="24"/>
          <w:vertAlign w:val="superscript"/>
        </w:rPr>
        <w:t>1</w:t>
      </w:r>
      <w:r>
        <w:rPr>
          <w:rFonts w:cstheme="minorHAnsi"/>
          <w:sz w:val="24"/>
          <w:szCs w:val="24"/>
        </w:rPr>
        <w:fldChar w:fldCharType="end"/>
      </w:r>
      <w:r>
        <w:rPr>
          <w:rFonts w:cstheme="minorHAnsi"/>
          <w:sz w:val="24"/>
          <w:szCs w:val="24"/>
        </w:rPr>
        <w:t xml:space="preserve">. Briefly, mice were anesthetized using a single injection of ketamine and xylazine (120mg/kg and 12mg/kg, I.P.) and a 5mm horizontal incision was made at the first left intercostal space. The thymus was temporarily retracted to visualize the aortic arch and a 7-0 silk suture was passed under the aorta between the right innominate and left carotid arteries. The suture was ligated around a blunted </w:t>
      </w:r>
      <w:proofErr w:type="gramStart"/>
      <w:r>
        <w:rPr>
          <w:rFonts w:cstheme="minorHAnsi"/>
          <w:sz w:val="24"/>
          <w:szCs w:val="24"/>
        </w:rPr>
        <w:t>27 gauge</w:t>
      </w:r>
      <w:proofErr w:type="gramEnd"/>
      <w:r>
        <w:rPr>
          <w:rFonts w:cstheme="minorHAnsi"/>
          <w:sz w:val="24"/>
          <w:szCs w:val="24"/>
        </w:rPr>
        <w:t xml:space="preserve"> needle and the needle was quickly removed. The chest wall and skin were closed. Sham animals underwent the same procedure except the suture was not ligated around the aorta. An additional incision was made in the right flank of the animal and a subcutaneous pocket was created by blunt dissection. A deoxycorticosterone acetate (50mg/pellet, </w:t>
      </w:r>
      <w:proofErr w:type="gramStart"/>
      <w:r>
        <w:rPr>
          <w:rFonts w:cstheme="minorHAnsi"/>
          <w:sz w:val="24"/>
          <w:szCs w:val="24"/>
        </w:rPr>
        <w:t>21 day</w:t>
      </w:r>
      <w:proofErr w:type="gramEnd"/>
      <w:r>
        <w:rPr>
          <w:rFonts w:cstheme="minorHAnsi"/>
          <w:sz w:val="24"/>
          <w:szCs w:val="24"/>
        </w:rPr>
        <w:t xml:space="preserve"> release) or placebo pellet (Innovative Research of America) was implanted. The skin was </w:t>
      </w:r>
      <w:proofErr w:type="gramStart"/>
      <w:r>
        <w:rPr>
          <w:rFonts w:cstheme="minorHAnsi"/>
          <w:sz w:val="24"/>
          <w:szCs w:val="24"/>
        </w:rPr>
        <w:t>closed</w:t>
      </w:r>
      <w:proofErr w:type="gramEnd"/>
      <w:r>
        <w:rPr>
          <w:rFonts w:cstheme="minorHAnsi"/>
          <w:sz w:val="24"/>
          <w:szCs w:val="24"/>
        </w:rPr>
        <w:t xml:space="preserve"> and the mice were allowed to recover in a </w:t>
      </w:r>
      <w:proofErr w:type="spellStart"/>
      <w:r>
        <w:rPr>
          <w:rFonts w:cstheme="minorHAnsi"/>
          <w:sz w:val="24"/>
          <w:szCs w:val="24"/>
        </w:rPr>
        <w:t>ThermoCare</w:t>
      </w:r>
      <w:proofErr w:type="spellEnd"/>
      <w:r>
        <w:rPr>
          <w:rFonts w:cstheme="minorHAnsi"/>
          <w:sz w:val="24"/>
          <w:szCs w:val="24"/>
        </w:rPr>
        <w:t xml:space="preserve"> warmer.</w:t>
      </w:r>
    </w:p>
    <w:p w14:paraId="630DC527" w14:textId="77777777" w:rsidR="00247063" w:rsidRDefault="00247063" w:rsidP="00247063">
      <w:pPr>
        <w:autoSpaceDE w:val="0"/>
        <w:autoSpaceDN w:val="0"/>
        <w:adjustRightInd w:val="0"/>
        <w:spacing w:after="0" w:line="480" w:lineRule="auto"/>
        <w:jc w:val="both"/>
        <w:rPr>
          <w:rFonts w:cstheme="minorHAnsi"/>
          <w:sz w:val="24"/>
          <w:szCs w:val="24"/>
        </w:rPr>
      </w:pPr>
      <w:r>
        <w:rPr>
          <w:rFonts w:cstheme="minorHAnsi"/>
          <w:sz w:val="24"/>
          <w:szCs w:val="24"/>
        </w:rPr>
        <w:t xml:space="preserve">Male </w:t>
      </w:r>
      <w:r>
        <w:rPr>
          <w:rFonts w:cstheme="minorHAnsi"/>
          <w:sz w:val="24"/>
          <w:szCs w:val="24"/>
          <w:shd w:val="clear" w:color="auto" w:fill="FFFFFF"/>
        </w:rPr>
        <w:t>B6.BKS(D)-</w:t>
      </w:r>
      <w:r>
        <w:rPr>
          <w:rFonts w:cstheme="minorHAnsi"/>
          <w:i/>
          <w:iCs/>
          <w:sz w:val="24"/>
          <w:szCs w:val="24"/>
          <w:shd w:val="clear" w:color="auto" w:fill="FFFFFF"/>
        </w:rPr>
        <w:t xml:space="preserve"> </w:t>
      </w:r>
      <w:proofErr w:type="spellStart"/>
      <w:r>
        <w:rPr>
          <w:rFonts w:cstheme="minorHAnsi"/>
          <w:i/>
          <w:iCs/>
          <w:sz w:val="24"/>
          <w:szCs w:val="24"/>
          <w:shd w:val="clear" w:color="auto" w:fill="FFFFFF"/>
        </w:rPr>
        <w:t>Lepr</w:t>
      </w:r>
      <w:r>
        <w:rPr>
          <w:rFonts w:cstheme="minorHAnsi"/>
          <w:i/>
          <w:iCs/>
          <w:sz w:val="24"/>
          <w:szCs w:val="24"/>
          <w:shd w:val="clear" w:color="auto" w:fill="FFFFFF"/>
          <w:vertAlign w:val="superscript"/>
        </w:rPr>
        <w:t>db</w:t>
      </w:r>
      <w:proofErr w:type="spellEnd"/>
      <w:r>
        <w:rPr>
          <w:rFonts w:cstheme="minorHAnsi"/>
          <w:i/>
          <w:iCs/>
          <w:sz w:val="24"/>
          <w:szCs w:val="24"/>
          <w:shd w:val="clear" w:color="auto" w:fill="FFFFFF"/>
        </w:rPr>
        <w:t xml:space="preserve">/J </w:t>
      </w:r>
      <w:r>
        <w:rPr>
          <w:rFonts w:cstheme="minorHAnsi"/>
          <w:sz w:val="24"/>
          <w:szCs w:val="24"/>
        </w:rPr>
        <w:t>mice homozygous for the diabetes spontaneous mutation (</w:t>
      </w:r>
      <w:proofErr w:type="spellStart"/>
      <w:r>
        <w:rPr>
          <w:rFonts w:cstheme="minorHAnsi"/>
          <w:i/>
          <w:iCs/>
          <w:sz w:val="24"/>
          <w:szCs w:val="24"/>
          <w:bdr w:val="none" w:sz="0" w:space="0" w:color="auto" w:frame="1"/>
        </w:rPr>
        <w:t>Lepr</w:t>
      </w:r>
      <w:r>
        <w:rPr>
          <w:rFonts w:cstheme="minorHAnsi"/>
          <w:i/>
          <w:iCs/>
          <w:sz w:val="24"/>
          <w:szCs w:val="24"/>
          <w:bdr w:val="none" w:sz="0" w:space="0" w:color="auto" w:frame="1"/>
          <w:vertAlign w:val="superscript"/>
        </w:rPr>
        <w:t>db</w:t>
      </w:r>
      <w:proofErr w:type="spellEnd"/>
      <w:r>
        <w:rPr>
          <w:rFonts w:cstheme="minorHAnsi"/>
          <w:sz w:val="24"/>
          <w:szCs w:val="24"/>
        </w:rPr>
        <w:t>) and</w:t>
      </w:r>
      <w:r>
        <w:rPr>
          <w:rFonts w:cstheme="minorHAnsi"/>
          <w:i/>
          <w:iCs/>
          <w:sz w:val="24"/>
          <w:szCs w:val="24"/>
          <w:shd w:val="clear" w:color="auto" w:fill="FFFFFF"/>
        </w:rPr>
        <w:t xml:space="preserve">  </w:t>
      </w:r>
      <w:r>
        <w:rPr>
          <w:rFonts w:cstheme="minorHAnsi"/>
          <w:sz w:val="24"/>
          <w:szCs w:val="24"/>
        </w:rPr>
        <w:t>heterozygotes (</w:t>
      </w:r>
      <w:proofErr w:type="spellStart"/>
      <w:r>
        <w:rPr>
          <w:rFonts w:cstheme="minorHAnsi"/>
          <w:i/>
          <w:iCs/>
          <w:sz w:val="24"/>
          <w:szCs w:val="24"/>
          <w:bdr w:val="none" w:sz="0" w:space="0" w:color="auto" w:frame="1"/>
        </w:rPr>
        <w:t>Lepr</w:t>
      </w:r>
      <w:r>
        <w:rPr>
          <w:rFonts w:cstheme="minorHAnsi"/>
          <w:i/>
          <w:iCs/>
          <w:sz w:val="24"/>
          <w:szCs w:val="24"/>
          <w:bdr w:val="none" w:sz="0" w:space="0" w:color="auto" w:frame="1"/>
          <w:vertAlign w:val="superscript"/>
        </w:rPr>
        <w:t>db</w:t>
      </w:r>
      <w:proofErr w:type="spellEnd"/>
      <w:r>
        <w:rPr>
          <w:rFonts w:cstheme="minorHAnsi"/>
          <w:sz w:val="24"/>
          <w:szCs w:val="24"/>
        </w:rPr>
        <w:t>/+) littermates were purchased from Jackson Laboratories (Bar Harbor, ME).</w:t>
      </w:r>
      <w:r>
        <w:rPr>
          <w:rFonts w:cstheme="minorHAnsi"/>
          <w:i/>
          <w:iCs/>
          <w:sz w:val="24"/>
          <w:szCs w:val="24"/>
          <w:shd w:val="clear" w:color="auto" w:fill="FFFFFF"/>
        </w:rPr>
        <w:t xml:space="preserve">  </w:t>
      </w:r>
      <w:r>
        <w:rPr>
          <w:rFonts w:cstheme="minorHAnsi"/>
          <w:sz w:val="24"/>
          <w:szCs w:val="24"/>
        </w:rPr>
        <w:t xml:space="preserve">All animal experiments were approved by the Institutional Animal Care and Use Committee (IACUC) at the University of Arizona and the NIH “Using Animals in Intramural Research“ guidelines. </w:t>
      </w:r>
    </w:p>
    <w:p w14:paraId="28021629" w14:textId="77777777" w:rsidR="00247063" w:rsidRDefault="00247063" w:rsidP="00247063">
      <w:pPr>
        <w:spacing w:line="480" w:lineRule="auto"/>
        <w:jc w:val="both"/>
        <w:rPr>
          <w:rFonts w:cstheme="minorHAnsi"/>
          <w:b/>
          <w:sz w:val="24"/>
          <w:szCs w:val="24"/>
        </w:rPr>
      </w:pPr>
      <w:r>
        <w:rPr>
          <w:rFonts w:cstheme="minorHAnsi"/>
          <w:b/>
          <w:sz w:val="24"/>
          <w:szCs w:val="24"/>
        </w:rPr>
        <w:t xml:space="preserve">Osmotic mini-pumps and vehicle </w:t>
      </w:r>
    </w:p>
    <w:p w14:paraId="7318E7FA" w14:textId="77777777" w:rsidR="00247063" w:rsidRDefault="00247063" w:rsidP="00247063">
      <w:pPr>
        <w:autoSpaceDE w:val="0"/>
        <w:autoSpaceDN w:val="0"/>
        <w:adjustRightInd w:val="0"/>
        <w:spacing w:after="0" w:line="480" w:lineRule="auto"/>
        <w:jc w:val="both"/>
        <w:rPr>
          <w:rFonts w:cstheme="minorHAnsi"/>
          <w:sz w:val="24"/>
          <w:szCs w:val="24"/>
        </w:rPr>
      </w:pPr>
      <w:r>
        <w:rPr>
          <w:rFonts w:cstheme="minorHAnsi"/>
          <w:sz w:val="24"/>
          <w:szCs w:val="24"/>
        </w:rPr>
        <w:t xml:space="preserve">For chronic inhibition studies.  </w:t>
      </w:r>
      <w:bookmarkStart w:id="1" w:name="_Hlk19992305"/>
      <w:r>
        <w:rPr>
          <w:rFonts w:cstheme="minorHAnsi"/>
          <w:sz w:val="24"/>
          <w:szCs w:val="24"/>
        </w:rPr>
        <w:t>PF-4449613</w:t>
      </w:r>
      <w:r>
        <w:rPr>
          <w:rFonts w:cstheme="minorHAnsi"/>
          <w:sz w:val="24"/>
          <w:szCs w:val="24"/>
          <w:shd w:val="clear" w:color="auto" w:fill="FFFFFF"/>
        </w:rPr>
        <w:t xml:space="preserve"> ( Pfizer Inc ) was dissolved in 50% </w:t>
      </w:r>
      <w:hyperlink r:id="rId4" w:anchor="200015907" w:history="1">
        <w:r>
          <w:rPr>
            <w:rStyle w:val="Hyperlink"/>
            <w:rFonts w:cstheme="minorHAnsi"/>
            <w:color w:val="auto"/>
            <w:sz w:val="24"/>
            <w:szCs w:val="24"/>
            <w:u w:val="none"/>
            <w:bdr w:val="none" w:sz="0" w:space="0" w:color="auto" w:frame="1"/>
            <w:shd w:val="clear" w:color="auto" w:fill="FFFFFF"/>
          </w:rPr>
          <w:t>dimethyl sulfoxide</w:t>
        </w:r>
      </w:hyperlink>
      <w:r>
        <w:rPr>
          <w:rFonts w:cstheme="minorHAnsi"/>
          <w:sz w:val="24"/>
          <w:szCs w:val="24"/>
          <w:bdr w:val="none" w:sz="0" w:space="0" w:color="auto" w:frame="1"/>
          <w:shd w:val="clear" w:color="auto" w:fill="FFFFFF"/>
        </w:rPr>
        <w:t xml:space="preserve"> (DMSO)</w:t>
      </w:r>
      <w:r>
        <w:rPr>
          <w:rFonts w:cstheme="minorHAnsi"/>
          <w:sz w:val="24"/>
          <w:szCs w:val="24"/>
          <w:shd w:val="clear" w:color="auto" w:fill="FFFFFF"/>
        </w:rPr>
        <w:t xml:space="preserve"> and 50% polyethylene glycol (PEG)</w:t>
      </w:r>
      <w:r>
        <w:rPr>
          <w:rFonts w:cstheme="minorHAnsi"/>
          <w:b/>
          <w:bCs/>
          <w:sz w:val="24"/>
          <w:szCs w:val="24"/>
          <w:shd w:val="clear" w:color="auto" w:fill="FFFFFF"/>
        </w:rPr>
        <w:t xml:space="preserve"> </w:t>
      </w:r>
      <w:r>
        <w:rPr>
          <w:rFonts w:cstheme="minorHAnsi"/>
          <w:sz w:val="24"/>
          <w:szCs w:val="24"/>
          <w:shd w:val="clear" w:color="auto" w:fill="FFFFFF"/>
        </w:rPr>
        <w:t xml:space="preserve"> and</w:t>
      </w:r>
      <w:r>
        <w:rPr>
          <w:rFonts w:cstheme="minorHAnsi"/>
          <w:sz w:val="24"/>
          <w:szCs w:val="24"/>
        </w:rPr>
        <w:t xml:space="preserve"> was administered via subcutaneously implanted </w:t>
      </w:r>
      <w:r>
        <w:rPr>
          <w:rFonts w:cstheme="minorHAnsi"/>
          <w:sz w:val="24"/>
          <w:szCs w:val="24"/>
        </w:rPr>
        <w:lastRenderedPageBreak/>
        <w:t>osmotic mini-pumps (</w:t>
      </w:r>
      <w:proofErr w:type="spellStart"/>
      <w:r>
        <w:rPr>
          <w:rFonts w:cstheme="minorHAnsi"/>
          <w:sz w:val="24"/>
          <w:szCs w:val="24"/>
        </w:rPr>
        <w:t>Alzet</w:t>
      </w:r>
      <w:proofErr w:type="spellEnd"/>
      <w:r>
        <w:rPr>
          <w:rFonts w:cstheme="minorHAnsi"/>
          <w:sz w:val="24"/>
          <w:szCs w:val="24"/>
        </w:rPr>
        <w:t xml:space="preserve"> osmotic pump, model 2004). Mice were implanted, at 1 week after TAC-DOCA/sham surgery, with osmotic mini-pumps that released PF-4449613 at concentration of 1 or 5 or 8 mg/kg/day for 28 days. The control animals were implanted with osmotic </w:t>
      </w:r>
      <w:proofErr w:type="gramStart"/>
      <w:r>
        <w:rPr>
          <w:rFonts w:cstheme="minorHAnsi"/>
          <w:sz w:val="24"/>
          <w:szCs w:val="24"/>
        </w:rPr>
        <w:t>mini-pumps</w:t>
      </w:r>
      <w:proofErr w:type="gramEnd"/>
      <w:r>
        <w:rPr>
          <w:rFonts w:cstheme="minorHAnsi"/>
          <w:sz w:val="24"/>
          <w:szCs w:val="24"/>
        </w:rPr>
        <w:t xml:space="preserve"> containing vehicle (DMSO and PEG (1:1)) at an equivalent volume. At the end of week 5 after surgery (or the end of week 4 after osmotic mini-pumps implantation), mice were used for invasive hemodynamic assessment.</w:t>
      </w:r>
    </w:p>
    <w:p w14:paraId="288122FA" w14:textId="027C2478" w:rsidR="00247063" w:rsidRDefault="00247063" w:rsidP="00247063">
      <w:pPr>
        <w:autoSpaceDE w:val="0"/>
        <w:autoSpaceDN w:val="0"/>
        <w:adjustRightInd w:val="0"/>
        <w:spacing w:after="0" w:line="480" w:lineRule="auto"/>
        <w:jc w:val="both"/>
        <w:rPr>
          <w:rFonts w:cstheme="minorHAnsi"/>
          <w:sz w:val="24"/>
          <w:szCs w:val="24"/>
        </w:rPr>
      </w:pPr>
      <w:r>
        <w:rPr>
          <w:rFonts w:cstheme="minorHAnsi"/>
          <w:sz w:val="24"/>
          <w:szCs w:val="24"/>
        </w:rPr>
        <w:t xml:space="preserve">In </w:t>
      </w:r>
      <w:proofErr w:type="spellStart"/>
      <w:r>
        <w:rPr>
          <w:rFonts w:cstheme="minorHAnsi"/>
          <w:i/>
          <w:sz w:val="24"/>
          <w:szCs w:val="24"/>
        </w:rPr>
        <w:t>Lepr</w:t>
      </w:r>
      <w:r>
        <w:rPr>
          <w:rFonts w:cstheme="minorHAnsi"/>
          <w:i/>
          <w:sz w:val="24"/>
          <w:szCs w:val="24"/>
          <w:vertAlign w:val="superscript"/>
        </w:rPr>
        <w:t>db</w:t>
      </w:r>
      <w:proofErr w:type="spellEnd"/>
      <w:r>
        <w:rPr>
          <w:rFonts w:cstheme="minorHAnsi"/>
          <w:sz w:val="24"/>
          <w:szCs w:val="24"/>
        </w:rPr>
        <w:t xml:space="preserve"> model, male </w:t>
      </w:r>
      <w:r>
        <w:rPr>
          <w:rFonts w:cstheme="minorHAnsi"/>
          <w:sz w:val="24"/>
          <w:szCs w:val="24"/>
          <w:shd w:val="clear" w:color="auto" w:fill="FFFFFF"/>
        </w:rPr>
        <w:t>B6.BKS(D)-</w:t>
      </w:r>
      <w:r>
        <w:rPr>
          <w:rFonts w:cstheme="minorHAnsi"/>
          <w:i/>
          <w:iCs/>
          <w:sz w:val="24"/>
          <w:szCs w:val="24"/>
          <w:shd w:val="clear" w:color="auto" w:fill="FFFFFF"/>
        </w:rPr>
        <w:t xml:space="preserve"> </w:t>
      </w:r>
      <w:proofErr w:type="spellStart"/>
      <w:r>
        <w:rPr>
          <w:rFonts w:cstheme="minorHAnsi"/>
          <w:i/>
          <w:iCs/>
          <w:sz w:val="24"/>
          <w:szCs w:val="24"/>
          <w:shd w:val="clear" w:color="auto" w:fill="FFFFFF"/>
        </w:rPr>
        <w:t>Lepr</w:t>
      </w:r>
      <w:r>
        <w:rPr>
          <w:rFonts w:cstheme="minorHAnsi"/>
          <w:i/>
          <w:iCs/>
          <w:sz w:val="24"/>
          <w:szCs w:val="24"/>
          <w:shd w:val="clear" w:color="auto" w:fill="FFFFFF"/>
          <w:vertAlign w:val="superscript"/>
        </w:rPr>
        <w:t>db</w:t>
      </w:r>
      <w:proofErr w:type="spellEnd"/>
      <w:r>
        <w:rPr>
          <w:rFonts w:cstheme="minorHAnsi"/>
          <w:i/>
          <w:iCs/>
          <w:sz w:val="24"/>
          <w:szCs w:val="24"/>
          <w:shd w:val="clear" w:color="auto" w:fill="FFFFFF"/>
        </w:rPr>
        <w:t xml:space="preserve">/J </w:t>
      </w:r>
      <w:r>
        <w:rPr>
          <w:rFonts w:cstheme="minorHAnsi"/>
          <w:sz w:val="24"/>
          <w:szCs w:val="24"/>
        </w:rPr>
        <w:t>mice at 3.5 months of age were implanted with osmotic mini-pumps that released PF-4449613 at concentration of 8 mg/kg/day or vehicle for 28 day, then were used for invasive hemodynamic studies.</w:t>
      </w:r>
    </w:p>
    <w:bookmarkEnd w:id="1"/>
    <w:p w14:paraId="7D27A8DC" w14:textId="0B70D3DB" w:rsidR="00247063" w:rsidRDefault="00247063" w:rsidP="00247063">
      <w:pPr>
        <w:autoSpaceDE w:val="0"/>
        <w:autoSpaceDN w:val="0"/>
        <w:adjustRightInd w:val="0"/>
        <w:spacing w:after="0" w:line="480" w:lineRule="auto"/>
        <w:jc w:val="both"/>
        <w:rPr>
          <w:rFonts w:cstheme="minorHAnsi"/>
          <w:sz w:val="24"/>
          <w:szCs w:val="24"/>
        </w:rPr>
      </w:pPr>
      <w:r>
        <w:rPr>
          <w:rFonts w:cstheme="minorHAnsi"/>
          <w:sz w:val="24"/>
          <w:szCs w:val="24"/>
        </w:rPr>
        <w:t>T</w:t>
      </w:r>
      <w:r>
        <w:rPr>
          <w:rFonts w:cstheme="minorHAnsi"/>
          <w:sz w:val="24"/>
          <w:szCs w:val="24"/>
        </w:rPr>
        <w:t xml:space="preserve">he effect of early initiation of PDE9a inhibition was tested in adult male C57BL/6J mice. Mice were implanted, at 1 week </w:t>
      </w:r>
      <w:r>
        <w:rPr>
          <w:rFonts w:cstheme="minorHAnsi"/>
          <w:sz w:val="24"/>
          <w:szCs w:val="24"/>
          <w:u w:val="single"/>
        </w:rPr>
        <w:t>prior</w:t>
      </w:r>
      <w:r>
        <w:rPr>
          <w:rFonts w:cstheme="minorHAnsi"/>
          <w:sz w:val="24"/>
          <w:szCs w:val="24"/>
        </w:rPr>
        <w:t xml:space="preserve"> to TAC-DOCA/sham surgery, with osmotic mini-pumps that released PF-4449613 at concentration of 8 mg/kg/day or vehicle and were followed up for 6 weeks. At 5 weeks post-surgery (or the end of week 6 after mini-pumps implantation), mice were used for invasive hemodynamic assessment.</w:t>
      </w:r>
    </w:p>
    <w:p w14:paraId="4A78C520" w14:textId="77777777" w:rsidR="005B6643" w:rsidRDefault="005B6643"/>
    <w:sectPr w:rsidR="005B6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63"/>
    <w:rsid w:val="00247063"/>
    <w:rsid w:val="005B664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20A3"/>
  <w15:chartTrackingRefBased/>
  <w15:docId w15:val="{8810C86B-E823-4305-9BCD-748C6AAE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06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7063"/>
    <w:rPr>
      <w:color w:val="0563C1" w:themeColor="hyperlink"/>
      <w:u w:val="single"/>
    </w:rPr>
  </w:style>
  <w:style w:type="character" w:customStyle="1" w:styleId="apple-converted-space">
    <w:name w:val="apple-converted-space"/>
    <w:basedOn w:val="DefaultParagraphFont"/>
    <w:rsid w:val="00247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79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iencedirect.com/science/article/pii/S00144886140033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Methawasin, Methajit - (methajit)</dc:creator>
  <cp:keywords/>
  <dc:description/>
  <cp:lastModifiedBy>Methawasin, Methajit - (methajit)</cp:lastModifiedBy>
  <cp:revision>1</cp:revision>
  <dcterms:created xsi:type="dcterms:W3CDTF">2023-02-18T22:09:00Z</dcterms:created>
  <dcterms:modified xsi:type="dcterms:W3CDTF">2023-02-18T22:30:00Z</dcterms:modified>
</cp:coreProperties>
</file>